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100" w:rsidRPr="00822100" w:rsidRDefault="00822100" w:rsidP="00822100">
      <w:pPr>
        <w:pStyle w:val="NormalWeb"/>
        <w:shd w:val="clear" w:color="auto" w:fill="FFFFFF"/>
        <w:spacing w:before="0" w:beforeAutospacing="0" w:after="0" w:afterAutospacing="0"/>
        <w:jc w:val="both"/>
        <w:rPr>
          <w:rFonts w:ascii="Segoe UI" w:hAnsi="Segoe UI" w:cs="Segoe UI"/>
          <w:b/>
          <w:color w:val="000000"/>
          <w:sz w:val="19"/>
          <w:szCs w:val="19"/>
        </w:rPr>
      </w:pPr>
      <w:r w:rsidRPr="00822100">
        <w:rPr>
          <w:rFonts w:ascii="Segoe UI" w:hAnsi="Segoe UI" w:cs="Segoe UI"/>
          <w:b/>
          <w:color w:val="000000"/>
          <w:sz w:val="19"/>
          <w:szCs w:val="19"/>
        </w:rPr>
        <w:t>T.C.</w:t>
      </w:r>
    </w:p>
    <w:p w:rsidR="00822100" w:rsidRPr="00822100" w:rsidRDefault="00822100" w:rsidP="00822100">
      <w:pPr>
        <w:pStyle w:val="NormalWeb"/>
        <w:shd w:val="clear" w:color="auto" w:fill="FFFFFF"/>
        <w:spacing w:before="0" w:beforeAutospacing="0" w:after="0" w:afterAutospacing="0"/>
        <w:jc w:val="both"/>
        <w:rPr>
          <w:rFonts w:ascii="Segoe UI" w:hAnsi="Segoe UI" w:cs="Segoe UI"/>
          <w:b/>
          <w:color w:val="000000"/>
          <w:sz w:val="19"/>
          <w:szCs w:val="19"/>
        </w:rPr>
      </w:pPr>
      <w:r w:rsidRPr="00822100">
        <w:rPr>
          <w:rFonts w:ascii="Segoe UI" w:hAnsi="Segoe UI" w:cs="Segoe UI"/>
          <w:b/>
          <w:color w:val="000000"/>
          <w:sz w:val="19"/>
          <w:szCs w:val="19"/>
        </w:rPr>
        <w:t xml:space="preserve">DANIŞTAY </w:t>
      </w:r>
    </w:p>
    <w:p w:rsidR="00822100" w:rsidRPr="00822100" w:rsidRDefault="00822100" w:rsidP="00822100">
      <w:pPr>
        <w:pStyle w:val="NormalWeb"/>
        <w:shd w:val="clear" w:color="auto" w:fill="FFFFFF"/>
        <w:spacing w:before="0" w:beforeAutospacing="0" w:after="0" w:afterAutospacing="0"/>
        <w:jc w:val="both"/>
        <w:rPr>
          <w:rFonts w:ascii="Segoe UI" w:hAnsi="Segoe UI" w:cs="Segoe UI"/>
          <w:b/>
          <w:color w:val="000000"/>
          <w:sz w:val="19"/>
          <w:szCs w:val="19"/>
        </w:rPr>
      </w:pPr>
      <w:r w:rsidRPr="00822100">
        <w:rPr>
          <w:rFonts w:ascii="Segoe UI" w:hAnsi="Segoe UI" w:cs="Segoe UI"/>
          <w:b/>
          <w:color w:val="000000"/>
          <w:sz w:val="19"/>
          <w:szCs w:val="19"/>
        </w:rPr>
        <w:t>12. DAİRE</w:t>
      </w:r>
    </w:p>
    <w:p w:rsidR="00822100" w:rsidRDefault="00822100" w:rsidP="00822100">
      <w:pPr>
        <w:pStyle w:val="NormalWeb"/>
        <w:shd w:val="clear" w:color="auto" w:fill="FFFFFF"/>
        <w:spacing w:before="0" w:beforeAutospacing="0" w:after="0" w:afterAutospacing="0"/>
        <w:jc w:val="both"/>
        <w:rPr>
          <w:rFonts w:ascii="Segoe UI" w:hAnsi="Segoe UI" w:cs="Segoe UI"/>
          <w:color w:val="000000"/>
          <w:sz w:val="19"/>
          <w:szCs w:val="19"/>
        </w:rPr>
      </w:pPr>
    </w:p>
    <w:p w:rsidR="00822100" w:rsidRDefault="00822100" w:rsidP="00822100">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 No: 2020/4099</w:t>
      </w:r>
    </w:p>
    <w:p w:rsidR="00822100" w:rsidRDefault="00822100" w:rsidP="00822100">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 xml:space="preserve">Karar No: </w:t>
      </w:r>
      <w:r w:rsidRPr="00822100">
        <w:rPr>
          <w:rFonts w:ascii="Segoe UI" w:hAnsi="Segoe UI" w:cs="Segoe UI"/>
          <w:color w:val="ED7D31" w:themeColor="accent2"/>
          <w:sz w:val="19"/>
          <w:szCs w:val="19"/>
        </w:rPr>
        <w:t>2020/3403</w:t>
      </w:r>
    </w:p>
    <w:p w:rsidR="00822100" w:rsidRDefault="00822100" w:rsidP="00822100">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Karar tarihi: 02.11.2020</w:t>
      </w:r>
    </w:p>
    <w:p w:rsidR="00822100" w:rsidRDefault="00822100" w:rsidP="00822100">
      <w:pPr>
        <w:pStyle w:val="NormalWeb"/>
        <w:shd w:val="clear" w:color="auto" w:fill="FFFFFF"/>
        <w:spacing w:before="0" w:beforeAutospacing="0" w:after="0" w:afterAutospacing="0"/>
        <w:jc w:val="both"/>
        <w:rPr>
          <w:rFonts w:ascii="Segoe UI" w:hAnsi="Segoe UI" w:cs="Segoe UI"/>
          <w:color w:val="000000"/>
          <w:sz w:val="19"/>
          <w:szCs w:val="19"/>
        </w:rPr>
      </w:pP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822100">
        <w:rPr>
          <w:rFonts w:ascii="Segoe UI" w:hAnsi="Segoe UI" w:cs="Segoe UI"/>
          <w:b/>
          <w:color w:val="000000"/>
          <w:sz w:val="19"/>
          <w:szCs w:val="19"/>
        </w:rPr>
        <w:t>DAVACI</w:t>
      </w:r>
      <w:proofErr w:type="gramStart"/>
      <w:r w:rsidRPr="00822100">
        <w:rPr>
          <w:rFonts w:ascii="Segoe UI" w:hAnsi="Segoe UI" w:cs="Segoe UI"/>
          <w:b/>
          <w:color w:val="000000"/>
          <w:sz w:val="19"/>
          <w:szCs w:val="19"/>
        </w:rPr>
        <w:t>:</w:t>
      </w:r>
      <w:r>
        <w:rPr>
          <w:rFonts w:ascii="Segoe UI" w:hAnsi="Segoe UI" w:cs="Segoe UI"/>
          <w:color w:val="000000"/>
          <w:sz w:val="19"/>
          <w:szCs w:val="19"/>
        </w:rPr>
        <w:t xml:space="preserve"> .</w:t>
      </w:r>
      <w:proofErr w:type="gramEnd"/>
      <w:r>
        <w:rPr>
          <w:rFonts w:ascii="Segoe UI" w:hAnsi="Segoe UI" w:cs="Segoe UI"/>
          <w:color w:val="000000"/>
          <w:sz w:val="19"/>
          <w:szCs w:val="19"/>
        </w:rPr>
        <w:t xml:space="preserve"> Sendikası</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822100">
        <w:rPr>
          <w:rFonts w:ascii="Segoe UI" w:hAnsi="Segoe UI" w:cs="Segoe UI"/>
          <w:b/>
          <w:color w:val="000000"/>
          <w:sz w:val="19"/>
          <w:szCs w:val="19"/>
        </w:rPr>
        <w:t>VEKİLİ:</w:t>
      </w:r>
      <w:r>
        <w:rPr>
          <w:rFonts w:ascii="Segoe UI" w:hAnsi="Segoe UI" w:cs="Segoe UI"/>
          <w:color w:val="000000"/>
          <w:sz w:val="19"/>
          <w:szCs w:val="19"/>
        </w:rPr>
        <w:t xml:space="preserve"> </w:t>
      </w:r>
      <w:proofErr w:type="gramStart"/>
      <w:r>
        <w:rPr>
          <w:rFonts w:ascii="Segoe UI" w:hAnsi="Segoe UI" w:cs="Segoe UI"/>
          <w:color w:val="000000"/>
          <w:sz w:val="19"/>
          <w:szCs w:val="19"/>
        </w:rPr>
        <w:t>Av..</w:t>
      </w:r>
      <w:proofErr w:type="gramEnd"/>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822100">
        <w:rPr>
          <w:rFonts w:ascii="Segoe UI" w:hAnsi="Segoe UI" w:cs="Segoe UI"/>
          <w:b/>
          <w:color w:val="000000"/>
          <w:sz w:val="19"/>
          <w:szCs w:val="19"/>
        </w:rPr>
        <w:t>DAVALI:</w:t>
      </w:r>
      <w:r>
        <w:rPr>
          <w:rFonts w:ascii="Segoe UI" w:hAnsi="Segoe UI" w:cs="Segoe UI"/>
          <w:color w:val="000000"/>
          <w:sz w:val="19"/>
          <w:szCs w:val="19"/>
        </w:rPr>
        <w:t xml:space="preserve"> Sağlık Bakanlığı- ANKARA</w:t>
      </w:r>
    </w:p>
    <w:p w:rsidR="00822100" w:rsidRPr="00822100" w:rsidRDefault="00822100" w:rsidP="00822100">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822100">
        <w:rPr>
          <w:rFonts w:ascii="Segoe UI" w:hAnsi="Segoe UI" w:cs="Segoe UI"/>
          <w:b/>
          <w:color w:val="000000"/>
          <w:sz w:val="19"/>
          <w:szCs w:val="19"/>
        </w:rPr>
        <w:t>DAVANIN KONUSU:</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Sağlık Bakanlığı Strateji Geliştirme Başkanlığının COVID-19 kapsamında idari izinli sayılanlara nöbet ücretlerinin ödenip ödenmeyeceğine dair görüş istenilmesine ilişkin 08/04/2020 tarih ve 93377465-869-E.334 sayılı yazısı ile Hukuk Hizmetleri Genel Müdürlüğünce verilen 30/04/2020 tarih ve 11045126-045.02 E.82960 sayılı görüş yazısının 2. bölümünün iptali istenilmektedir.</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Onikinci Dairesince, 2577 sayılı İdari Yargılama Usulü Kanunu'nun 14. maddesi uyarınca ilk inceleme ile görevli Tetkik </w:t>
      </w:r>
      <w:proofErr w:type="gramStart"/>
      <w:r>
        <w:rPr>
          <w:rFonts w:ascii="Segoe UI" w:hAnsi="Segoe UI" w:cs="Segoe UI"/>
          <w:color w:val="000000"/>
          <w:sz w:val="19"/>
          <w:szCs w:val="19"/>
        </w:rPr>
        <w:t>Hakimi</w:t>
      </w:r>
      <w:proofErr w:type="gramEnd"/>
      <w:r>
        <w:rPr>
          <w:rFonts w:ascii="Segoe UI" w:hAnsi="Segoe UI" w:cs="Segoe UI"/>
          <w:color w:val="000000"/>
          <w:sz w:val="19"/>
          <w:szCs w:val="19"/>
        </w:rPr>
        <w:t xml:space="preserve"> K2'nınaçıklamaları dinlendikten sonra işin gereği görüşüldü:</w:t>
      </w:r>
    </w:p>
    <w:p w:rsidR="00822100" w:rsidRPr="00822100" w:rsidRDefault="00822100" w:rsidP="00822100">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822100">
        <w:rPr>
          <w:rFonts w:ascii="Segoe UI" w:hAnsi="Segoe UI" w:cs="Segoe UI"/>
          <w:b/>
          <w:color w:val="000000"/>
          <w:sz w:val="19"/>
          <w:szCs w:val="19"/>
        </w:rPr>
        <w:t>İLGİLİ MEVZUAT ve HUKUKİ DEĞERLENDİRME</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2577 sayılı İdari Yargılama Usulü Kanunu'nun 2. maddesinin birinci fıkrasının (a) bendinde, iptal davaları, </w:t>
      </w:r>
      <w:r w:rsidRPr="00822100">
        <w:rPr>
          <w:rFonts w:ascii="Segoe UI" w:hAnsi="Segoe UI" w:cs="Segoe UI"/>
          <w:i/>
          <w:color w:val="000000"/>
          <w:sz w:val="19"/>
          <w:szCs w:val="19"/>
        </w:rPr>
        <w:t>"İdari işlemler hakkında yetki, şekil, sebep, konu ve maksat yönlerinden biri ile hukuka aykırı olduklarından dolayı iptalleri için menfaatleri ihlal edilenler tarafından açılan davalar"</w:t>
      </w:r>
      <w:r>
        <w:rPr>
          <w:rFonts w:ascii="Segoe UI" w:hAnsi="Segoe UI" w:cs="Segoe UI"/>
          <w:color w:val="000000"/>
          <w:sz w:val="19"/>
          <w:szCs w:val="19"/>
        </w:rPr>
        <w:t xml:space="preserve"> olarak tanımlanmış; 14. maddesinin üçüncü fıkrasının (d) bendinde, dava dilekçelerinin, idari davaya konu olacak kesin ve yürütülmesi gereken bir işlem olup olmadığı yönünden inceleneceği; 15. maddesinin birinci fıkrasının (d) bendinde ise, 14. maddesinin üçüncü fıkrasının (d) bendinde yazılı hallerde davanın reddine karar verileceği; anılan maddenin 6. fıkrasında da, ilk incelemeye ilişkin hususların sonradan tespit edilmesi halinde davanın her safhasında 15. madde hükmünün uygulanacağı kurala bağlanmıştır.</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659 sayılı Genel Bütçe Kapsamındaki Kamu İdareleri ve Özel Bütçeli İdarelerde Hukuk Hizmetlerinin Yürütülmesine İlişkin Kanun Hükmünde Kararnamenin 4. maddesinin 1. fıkrasında, </w:t>
      </w:r>
      <w:r>
        <w:rPr>
          <w:rFonts w:ascii="Segoe UI" w:hAnsi="Segoe UI" w:cs="Segoe UI"/>
          <w:i/>
          <w:iCs/>
          <w:color w:val="000000"/>
          <w:sz w:val="19"/>
          <w:szCs w:val="19"/>
        </w:rPr>
        <w:t>"Hukuk birimleri; idarelerde muhakemat hizmetleri ile hukuk danışmanlığına ilişkin iş ve işlemleri yürütmekle görevli ve sorumludur."</w:t>
      </w:r>
      <w:r>
        <w:rPr>
          <w:rFonts w:ascii="Segoe UI" w:hAnsi="Segoe UI" w:cs="Segoe UI"/>
          <w:color w:val="000000"/>
          <w:sz w:val="19"/>
          <w:szCs w:val="19"/>
        </w:rPr>
        <w:t> kuralına; Hukuk birimlerinin hukuk danışmanlığı kapsamındaki görevlerinin sayıldığı 3. fıkrasının (a) bendinde ise, </w:t>
      </w:r>
      <w:r>
        <w:rPr>
          <w:rFonts w:ascii="Segoe UI" w:hAnsi="Segoe UI" w:cs="Segoe UI"/>
          <w:i/>
          <w:iCs/>
          <w:color w:val="000000"/>
          <w:sz w:val="19"/>
          <w:szCs w:val="19"/>
        </w:rPr>
        <w:t>"İdare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bildirir."</w:t>
      </w:r>
      <w:r>
        <w:rPr>
          <w:rFonts w:ascii="Segoe UI" w:hAnsi="Segoe UI" w:cs="Segoe UI"/>
          <w:color w:val="000000"/>
          <w:sz w:val="19"/>
          <w:szCs w:val="19"/>
        </w:rPr>
        <w:t> kuralına yer verilmiştir.</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Dosyanın incelenmesinden, Sağlık Bakanlığı Strateji Geliştirme Başkanlığının 08/04/2020 tarih ve 93377465-869-E.334 sayılı yazısı ile COVID-19 Kapsamında Kamu Çalışanlarına Yönelik İlave Tedbirler hakkındaki 2020/4 sayılı Cumhurbaşkanlığı Genelgesine göre idari izinli sayılanlara nöbet ücreti ödemesine ilişkin tereddüt yaşandığının bildirildiği, bu kapsamda idari izinli sayılanlara nöbet ücreti ödenip ödenmeyeceği hakkında Sağlık Bakanlığı Hukuk Müşavirliğinden görüş istenildiği; </w:t>
      </w:r>
      <w:r w:rsidRPr="00822100">
        <w:rPr>
          <w:rFonts w:ascii="Segoe UI" w:hAnsi="Segoe UI" w:cs="Segoe UI"/>
          <w:color w:val="000000"/>
          <w:sz w:val="19"/>
          <w:szCs w:val="19"/>
          <w:u w:val="single"/>
        </w:rPr>
        <w:t>Sağlık Bakanlığı Hukuk Müşavirliğinin 30/04/2012 tarih ve 11045126-045.02 E.82960 sayılı yazısı ile</w:t>
      </w:r>
      <w:r>
        <w:rPr>
          <w:rFonts w:ascii="Segoe UI" w:hAnsi="Segoe UI" w:cs="Segoe UI"/>
          <w:color w:val="000000"/>
          <w:sz w:val="19"/>
          <w:szCs w:val="19"/>
        </w:rPr>
        <w:t xml:space="preserve">; </w:t>
      </w:r>
    </w:p>
    <w:p w:rsidR="00822100" w:rsidRPr="00822100" w:rsidRDefault="00822100" w:rsidP="00822100">
      <w:pPr>
        <w:pStyle w:val="NormalWeb"/>
        <w:shd w:val="clear" w:color="auto" w:fill="FFFFFF"/>
        <w:spacing w:before="0" w:beforeAutospacing="0" w:after="0" w:afterAutospacing="0"/>
        <w:ind w:firstLine="708"/>
        <w:jc w:val="both"/>
        <w:rPr>
          <w:rFonts w:ascii="Segoe UI" w:hAnsi="Segoe UI" w:cs="Segoe UI"/>
          <w:i/>
          <w:color w:val="000000"/>
          <w:sz w:val="19"/>
          <w:szCs w:val="19"/>
        </w:rPr>
      </w:pPr>
      <w:r w:rsidRPr="00822100">
        <w:rPr>
          <w:rFonts w:ascii="Segoe UI" w:hAnsi="Segoe UI" w:cs="Segoe UI"/>
          <w:i/>
          <w:color w:val="000000"/>
          <w:sz w:val="19"/>
          <w:szCs w:val="19"/>
        </w:rPr>
        <w:t>1-</w:t>
      </w:r>
      <w:r>
        <w:rPr>
          <w:rFonts w:ascii="Segoe UI" w:hAnsi="Segoe UI" w:cs="Segoe UI"/>
          <w:i/>
          <w:color w:val="000000"/>
          <w:sz w:val="19"/>
          <w:szCs w:val="19"/>
        </w:rPr>
        <w:t xml:space="preserve"> </w:t>
      </w:r>
      <w:r w:rsidRPr="00822100">
        <w:rPr>
          <w:rFonts w:ascii="Segoe UI" w:hAnsi="Segoe UI" w:cs="Segoe UI"/>
          <w:i/>
          <w:color w:val="000000"/>
          <w:sz w:val="19"/>
          <w:szCs w:val="19"/>
        </w:rPr>
        <w:t xml:space="preserve">İdari İzinli Sayılan ve hafta içi idari izinli olduğu bir mesai gününde 16.00- 08.00 nöbetine gelerek 16 saat nöbet tutan personelin bu nöbetinin fazla çalışma kapsamında değerlendirilerek ücret ödenip ödenmeyeceğine ilişkin olarak; 657 sayılı Kanun'un Ek 33. maddesine göre asıl olan nöbet karşılığında izin kullandırıldığı, nöbet tutan personel de Genelge kapsamında idari izinli olmakla birlikte, bu izin tutulan nöbetten kaynaklanmadığından dönüşümlü çalışma yoluyla haftalık çalışma süresini tamamlayan personele tuttuğu nöbetler karşılığında nöbet ücreti ödenmesine devam edilmesi gerekeceği; </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822100">
        <w:rPr>
          <w:rFonts w:ascii="Segoe UI" w:hAnsi="Segoe UI" w:cs="Segoe UI"/>
          <w:i/>
          <w:color w:val="000000"/>
          <w:sz w:val="19"/>
          <w:szCs w:val="19"/>
        </w:rPr>
        <w:t xml:space="preserve">2- 2020 Nisan ayında 24 saat nöbet esasına göre çalışmakta ve ayda 7 adet nöbet tutmakta, diğer günlerde istirahat etmekte ve 168 saat olan mesai süresini de bu şekilde tamamlamakta personelin ilgili mevzuatı gereği nöbet sonrası kullanılan istirahat izin süresinin tamamının veya bir kısmının, 2020/4 sayılı Genelge ile yapılan düzenleme çerçevesinde idari izinli sayılan günler kapsamında değerlendirilip değerlendirilmeyeceğine ilişkin olarak; Cumhurbaşkanlığı Genelgesinin amacı, salgının yayılımının azaltılması olduğu için normal günlük ve haftalık çalışma düzenine ilişkin tanzim gerektirdiği İlgi yazıda nöbet esası denilen çalışma, teknik anlamda karşılığında izin verilmesini veya ücret ödenmesini gerektiren nöbet olmayıp, esnek </w:t>
      </w:r>
      <w:r w:rsidRPr="00822100">
        <w:rPr>
          <w:rFonts w:ascii="Segoe UI" w:hAnsi="Segoe UI" w:cs="Segoe UI"/>
          <w:i/>
          <w:color w:val="000000"/>
          <w:sz w:val="19"/>
          <w:szCs w:val="19"/>
        </w:rPr>
        <w:lastRenderedPageBreak/>
        <w:t xml:space="preserve">çalışma gibi, aylığın karşılığı olan çalışma süresine tetabuk eden bir çalışma yöntemi olduğu, ayda (7) gün (24) saat çalışma ile aylık mesai süresi tamamlandığına göre çalışılmayan günlerden ve dolayısıyla Genelge </w:t>
      </w:r>
      <w:proofErr w:type="gramStart"/>
      <w:r w:rsidRPr="00822100">
        <w:rPr>
          <w:rFonts w:ascii="Segoe UI" w:hAnsi="Segoe UI" w:cs="Segoe UI"/>
          <w:i/>
          <w:color w:val="000000"/>
          <w:sz w:val="19"/>
          <w:szCs w:val="19"/>
        </w:rPr>
        <w:t>kapsamında</w:t>
      </w:r>
      <w:proofErr w:type="gramEnd"/>
      <w:r w:rsidRPr="00822100">
        <w:rPr>
          <w:rFonts w:ascii="Segoe UI" w:hAnsi="Segoe UI" w:cs="Segoe UI"/>
          <w:i/>
          <w:color w:val="000000"/>
          <w:sz w:val="19"/>
          <w:szCs w:val="19"/>
        </w:rPr>
        <w:t xml:space="preserve"> idari izinli sayılmasından bahsedilemeyeceği, esasen böyle değerlendirmeye ihtiyaç bulunmadığı pratik bir sonucunun da bulunmadığı</w:t>
      </w:r>
      <w:r>
        <w:rPr>
          <w:rFonts w:ascii="Segoe UI" w:hAnsi="Segoe UI" w:cs="Segoe UI"/>
          <w:color w:val="000000"/>
          <w:sz w:val="19"/>
          <w:szCs w:val="19"/>
        </w:rPr>
        <w:t xml:space="preserve"> yönünde Strateji Genel Başkanlığına görüş bildirildiği; görüş istenilmesine ilişkin anılan yazı ile bu yazıya cevaben verilen söz konusu görüş yazısının 2. bölümünün iptali istemiyle bakılan davanın açıldığı anlaşılmıştır.</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Bilindiği gibi, </w:t>
      </w:r>
      <w:r w:rsidRPr="00822100">
        <w:rPr>
          <w:rFonts w:ascii="Segoe UI" w:hAnsi="Segoe UI" w:cs="Segoe UI"/>
          <w:color w:val="C00000"/>
          <w:sz w:val="19"/>
          <w:szCs w:val="19"/>
        </w:rPr>
        <w:t xml:space="preserve">idari işlemlerin idari davaya konu olabilmeleri için, kesin ve yürütülebilir olma niteliklerini birlikte taşımaları gerekmektedir. </w:t>
      </w:r>
      <w:r>
        <w:rPr>
          <w:rFonts w:ascii="Segoe UI" w:hAnsi="Segoe UI" w:cs="Segoe UI"/>
          <w:color w:val="000000"/>
          <w:sz w:val="19"/>
          <w:szCs w:val="19"/>
        </w:rPr>
        <w:t>Kesin ve yürütülmesi zorunlu işlem ise hukuk düzeninde sonuç doğuran, başka bir makamın onayına ihtiyaç göstermeyen ve ilgilinin hukukunda değişiklikler meydana getiren işlemdir.</w:t>
      </w:r>
    </w:p>
    <w:p w:rsidR="00822100" w:rsidRDefault="00822100" w:rsidP="00822100">
      <w:pPr>
        <w:pStyle w:val="NormalWeb"/>
        <w:shd w:val="clear" w:color="auto" w:fill="FFFFFF"/>
        <w:spacing w:before="0" w:beforeAutospacing="0" w:after="0" w:afterAutospacing="0"/>
        <w:jc w:val="both"/>
        <w:rPr>
          <w:rFonts w:ascii="Segoe UI" w:hAnsi="Segoe UI" w:cs="Segoe UI"/>
          <w:color w:val="000000"/>
          <w:sz w:val="19"/>
          <w:szCs w:val="19"/>
        </w:rPr>
      </w:pPr>
      <w:r w:rsidRPr="00822100">
        <w:rPr>
          <w:rFonts w:ascii="Segoe UI" w:hAnsi="Segoe UI" w:cs="Segoe UI"/>
          <w:color w:val="00B050"/>
          <w:sz w:val="19"/>
          <w:szCs w:val="19"/>
        </w:rPr>
        <w:t>İdari işlemin; idarenin tek taraflı irade beyanıyla ilgililer yönünden icrai ve etkili sonuçlar doğurabilme niteliğine sahip olması gerektiği dikkate alındığında, sağlık kurumlarına yol gösterici mahiyette ve yalnızca "görüş" istemekten ve bildirmekten ibaret olan davalı idare Strateji Geliştirme Başkanlığı ile Hukuk Hizmetleri Genel Müdürlüğü yazılarının icrai nitelik taşımadıkları ve idari davaya konu edilemeyecekleri sonucuna varılmıştır</w:t>
      </w:r>
      <w:r>
        <w:rPr>
          <w:rFonts w:ascii="Segoe UI" w:hAnsi="Segoe UI" w:cs="Segoe UI"/>
          <w:color w:val="000000"/>
          <w:sz w:val="19"/>
          <w:szCs w:val="19"/>
        </w:rPr>
        <w:t>.</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Bu durumda, idari davaya konu edilebilecek nitelikte olmayan Sağlık Bakanlığı Strateji Geliştirme Başkanlığının COVID-19 kapsamında idari izinli sayılanlara nöbet ücretlerinin ödenip ödenmeyeceğine dair görüş istenilmesine ilişkin 08/04/2020 tarih ve 93377465-869-E.334 sayılı yazısı ile Hukuk Hizmetleri Genel Müdürlüğünce verilen 30/04/2020 tarih ve 11045126-045.02 E.82960 sayılı görüş yazısının 2. bölümünün iptali istemiyle açılan davanın esasının incelenmesine olanak bulunmamaktadır.</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Nitekim, Danıştay İdari Dava Daireleri Kurulunun 15/03/2017 tarih ve E:2016/5295; K:2017/1215 sayılı kararı da bu yöndedir.</w:t>
      </w:r>
    </w:p>
    <w:p w:rsidR="00822100" w:rsidRPr="00822100" w:rsidRDefault="00822100" w:rsidP="00822100">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822100">
        <w:rPr>
          <w:rFonts w:ascii="Segoe UI" w:hAnsi="Segoe UI" w:cs="Segoe UI"/>
          <w:b/>
          <w:color w:val="000000"/>
          <w:sz w:val="19"/>
          <w:szCs w:val="19"/>
        </w:rPr>
        <w:t>KARAR SONUCU:</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w:t>
      </w:r>
      <w:r>
        <w:rPr>
          <w:rFonts w:ascii="Segoe UI" w:hAnsi="Segoe UI" w:cs="Segoe UI"/>
          <w:color w:val="000000"/>
          <w:sz w:val="19"/>
          <w:szCs w:val="19"/>
        </w:rPr>
        <w:t xml:space="preserve"> </w:t>
      </w:r>
      <w:bookmarkStart w:id="0" w:name="_GoBack"/>
      <w:bookmarkEnd w:id="0"/>
      <w:r>
        <w:rPr>
          <w:rFonts w:ascii="Segoe UI" w:hAnsi="Segoe UI" w:cs="Segoe UI"/>
          <w:color w:val="000000"/>
          <w:sz w:val="19"/>
          <w:szCs w:val="19"/>
        </w:rPr>
        <w:t>Sağlık Bakanlığı Strateji Geliştirme Başkanlığının COVID-19 kapsamında idari izinli sayılanlara nöbet ücretlerinin ödenip ödenmeyeceğine dair görüş istenilmesine ilişkin 08/04/2020 tarih ve 93377465-869-E.334 sayılı yazısı ile Hukuk Hizmetleri Genel Müdürlüğünce verilen 30/04/2020 tarih ve 11045126-045.02 E.82960 sayılı görüş yazısının 2. bölümünün iptali istemine ilişkin DAVANIN İNCELENMEKSİZİN REDDİNE,</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2. Ayrıntısı aşağıda gösterilen toplam 242,60 TL yargılama giderinin davacı üzerinde bırakılmasına,</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Posta gideri avansından artan tutarın kararın kesinleşmesinden sonra davacıya iadesine,</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4. Eksik harcın kullanılmayan 89,60-TL yürütmeyi durdurma harcından mahsup edilmesine ve fazlalığı anlaşılan 1,60-TL harcın davacıya iadesine,</w:t>
      </w:r>
    </w:p>
    <w:p w:rsidR="00822100" w:rsidRDefault="00822100" w:rsidP="00822100">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5.</w:t>
      </w:r>
      <w:r>
        <w:rPr>
          <w:rFonts w:ascii="Segoe UI" w:hAnsi="Segoe UI" w:cs="Segoe UI"/>
          <w:color w:val="000000"/>
          <w:sz w:val="19"/>
          <w:szCs w:val="19"/>
        </w:rPr>
        <w:t xml:space="preserve"> </w:t>
      </w:r>
      <w:r>
        <w:rPr>
          <w:rFonts w:ascii="Segoe UI" w:hAnsi="Segoe UI" w:cs="Segoe UI"/>
          <w:color w:val="000000"/>
          <w:sz w:val="19"/>
          <w:szCs w:val="19"/>
        </w:rPr>
        <w:t>Bu kararın tebliğ tarihini izleyen 30 gün içerisinde Danıştay İdari Dava Daireleri Kuruluna temyiz yolu açık olmak üzere, 02/11/2020tarihinde oybirliğiyle karar verildi.</w:t>
      </w:r>
    </w:p>
    <w:p w:rsidR="00787628" w:rsidRDefault="00787628" w:rsidP="00822100">
      <w:pPr>
        <w:spacing w:after="0"/>
      </w:pPr>
    </w:p>
    <w:sectPr w:rsidR="0078762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45" w:rsidRDefault="00C50E45" w:rsidP="00822100">
      <w:pPr>
        <w:spacing w:after="0" w:line="240" w:lineRule="auto"/>
      </w:pPr>
      <w:r>
        <w:separator/>
      </w:r>
    </w:p>
  </w:endnote>
  <w:endnote w:type="continuationSeparator" w:id="0">
    <w:p w:rsidR="00C50E45" w:rsidRDefault="00C50E45" w:rsidP="0082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277289"/>
      <w:docPartObj>
        <w:docPartGallery w:val="Page Numbers (Bottom of Page)"/>
        <w:docPartUnique/>
      </w:docPartObj>
    </w:sdtPr>
    <w:sdtContent>
      <w:sdt>
        <w:sdtPr>
          <w:id w:val="1728636285"/>
          <w:docPartObj>
            <w:docPartGallery w:val="Page Numbers (Top of Page)"/>
            <w:docPartUnique/>
          </w:docPartObj>
        </w:sdtPr>
        <w:sdtContent>
          <w:p w:rsidR="00822100" w:rsidRDefault="00822100">
            <w:pPr>
              <w:pStyle w:val="AltBilgi"/>
              <w:jc w:val="center"/>
            </w:pPr>
            <w:r w:rsidRPr="00822100">
              <w:t xml:space="preserve"> </w:t>
            </w:r>
            <w:r w:rsidRPr="00822100">
              <w:rPr>
                <w:bCs/>
                <w:sz w:val="24"/>
                <w:szCs w:val="24"/>
              </w:rPr>
              <w:fldChar w:fldCharType="begin"/>
            </w:r>
            <w:r w:rsidRPr="00822100">
              <w:rPr>
                <w:bCs/>
              </w:rPr>
              <w:instrText>PAGE</w:instrText>
            </w:r>
            <w:r w:rsidRPr="00822100">
              <w:rPr>
                <w:bCs/>
                <w:sz w:val="24"/>
                <w:szCs w:val="24"/>
              </w:rPr>
              <w:fldChar w:fldCharType="separate"/>
            </w:r>
            <w:r w:rsidRPr="00822100">
              <w:rPr>
                <w:bCs/>
              </w:rPr>
              <w:t>2</w:t>
            </w:r>
            <w:r w:rsidRPr="00822100">
              <w:rPr>
                <w:bCs/>
                <w:sz w:val="24"/>
                <w:szCs w:val="24"/>
              </w:rPr>
              <w:fldChar w:fldCharType="end"/>
            </w:r>
            <w:r w:rsidRPr="00822100">
              <w:t xml:space="preserve"> / </w:t>
            </w:r>
            <w:r w:rsidRPr="00822100">
              <w:rPr>
                <w:bCs/>
                <w:sz w:val="24"/>
                <w:szCs w:val="24"/>
              </w:rPr>
              <w:fldChar w:fldCharType="begin"/>
            </w:r>
            <w:r w:rsidRPr="00822100">
              <w:rPr>
                <w:bCs/>
              </w:rPr>
              <w:instrText>NUMPAGES</w:instrText>
            </w:r>
            <w:r w:rsidRPr="00822100">
              <w:rPr>
                <w:bCs/>
                <w:sz w:val="24"/>
                <w:szCs w:val="24"/>
              </w:rPr>
              <w:fldChar w:fldCharType="separate"/>
            </w:r>
            <w:r w:rsidRPr="00822100">
              <w:rPr>
                <w:bCs/>
              </w:rPr>
              <w:t>2</w:t>
            </w:r>
            <w:r w:rsidRPr="00822100">
              <w:rPr>
                <w:bCs/>
                <w:sz w:val="24"/>
                <w:szCs w:val="24"/>
              </w:rPr>
              <w:fldChar w:fldCharType="end"/>
            </w:r>
          </w:p>
        </w:sdtContent>
      </w:sdt>
    </w:sdtContent>
  </w:sdt>
  <w:p w:rsidR="00822100" w:rsidRDefault="008221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45" w:rsidRDefault="00C50E45" w:rsidP="00822100">
      <w:pPr>
        <w:spacing w:after="0" w:line="240" w:lineRule="auto"/>
      </w:pPr>
      <w:r>
        <w:separator/>
      </w:r>
    </w:p>
  </w:footnote>
  <w:footnote w:type="continuationSeparator" w:id="0">
    <w:p w:rsidR="00C50E45" w:rsidRDefault="00C50E45" w:rsidP="00822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00"/>
    <w:rsid w:val="00787628"/>
    <w:rsid w:val="00822100"/>
    <w:rsid w:val="00C50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3AC1"/>
  <w15:chartTrackingRefBased/>
  <w15:docId w15:val="{CB0D7542-77A0-4692-81F7-2CD78C42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21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221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2100"/>
  </w:style>
  <w:style w:type="paragraph" w:styleId="AltBilgi">
    <w:name w:val="footer"/>
    <w:basedOn w:val="Normal"/>
    <w:link w:val="AltBilgiChar"/>
    <w:uiPriority w:val="99"/>
    <w:unhideWhenUsed/>
    <w:rsid w:val="008221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2021-09-15T08:40:00Z</dcterms:created>
  <dcterms:modified xsi:type="dcterms:W3CDTF">2021-09-15T08:50:00Z</dcterms:modified>
</cp:coreProperties>
</file>